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63" w:type="pct"/>
        <w:jc w:val="center"/>
        <w:tblCellSpacing w:w="7" w:type="dxa"/>
        <w:tblInd w:w="-105" w:type="dxa"/>
        <w:tblCellMar>
          <w:left w:w="0" w:type="dxa"/>
          <w:right w:w="0" w:type="dxa"/>
        </w:tblCellMar>
        <w:tblLook w:val="04A0"/>
      </w:tblPr>
      <w:tblGrid>
        <w:gridCol w:w="8439"/>
      </w:tblGrid>
      <w:tr w:rsidR="003D26E3" w:rsidRPr="003D26E3" w:rsidTr="003D26E3">
        <w:trPr>
          <w:tblCellSpacing w:w="7" w:type="dxa"/>
          <w:jc w:val="center"/>
        </w:trPr>
        <w:tc>
          <w:tcPr>
            <w:tcW w:w="0" w:type="auto"/>
            <w:vAlign w:val="center"/>
            <w:hideMark/>
          </w:tcPr>
          <w:p w:rsidR="003D26E3" w:rsidRPr="003D26E3" w:rsidRDefault="003D26E3" w:rsidP="003D26E3">
            <w:pPr>
              <w:spacing w:before="75" w:after="0" w:line="240" w:lineRule="auto"/>
              <w:jc w:val="center"/>
              <w:rPr>
                <w:rFonts w:ascii="Verdana" w:eastAsia="Times New Roman" w:hAnsi="Verdana" w:cs="Times New Roman"/>
                <w:sz w:val="18"/>
                <w:szCs w:val="18"/>
              </w:rPr>
            </w:pPr>
            <w:r>
              <w:rPr>
                <w:rFonts w:ascii="Tahoma" w:eastAsia="Times New Roman" w:hAnsi="Tahoma" w:cs="Tahoma"/>
                <w:b/>
                <w:bCs/>
                <w:noProof/>
                <w:color w:val="000000"/>
                <w:sz w:val="21"/>
                <w:szCs w:val="21"/>
                <w:rtl/>
              </w:rPr>
              <w:drawing>
                <wp:anchor distT="0" distB="0" distL="114300" distR="114300" simplePos="0" relativeHeight="251658240" behindDoc="1" locked="0" layoutInCell="1" allowOverlap="1">
                  <wp:simplePos x="0" y="0"/>
                  <wp:positionH relativeFrom="column">
                    <wp:posOffset>971550</wp:posOffset>
                  </wp:positionH>
                  <wp:positionV relativeFrom="paragraph">
                    <wp:posOffset>375920</wp:posOffset>
                  </wp:positionV>
                  <wp:extent cx="3829050" cy="2676525"/>
                  <wp:effectExtent l="19050" t="0" r="0" b="0"/>
                  <wp:wrapTight wrapText="bothSides">
                    <wp:wrapPolygon edited="0">
                      <wp:start x="-107" y="0"/>
                      <wp:lineTo x="-107" y="21523"/>
                      <wp:lineTo x="21600" y="21523"/>
                      <wp:lineTo x="21600" y="0"/>
                      <wp:lineTo x="-107" y="0"/>
                    </wp:wrapPolygon>
                  </wp:wrapTight>
                  <wp:docPr id="2" name="ctl00_PhCC_ArticleImage" descr="http://www.mohesr.gov.iq/uploads/Image/karbalaa%20flag%20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hCC_ArticleImage" descr="http://www.mohesr.gov.iq/uploads/Image/karbalaa%20flag%202014.JPG"/>
                          <pic:cNvPicPr>
                            <a:picLocks noChangeAspect="1" noChangeArrowheads="1"/>
                          </pic:cNvPicPr>
                        </pic:nvPicPr>
                        <pic:blipFill>
                          <a:blip r:embed="rId5"/>
                          <a:srcRect/>
                          <a:stretch>
                            <a:fillRect/>
                          </a:stretch>
                        </pic:blipFill>
                        <pic:spPr bwMode="auto">
                          <a:xfrm>
                            <a:off x="0" y="0"/>
                            <a:ext cx="3829050" cy="2676525"/>
                          </a:xfrm>
                          <a:prstGeom prst="rect">
                            <a:avLst/>
                          </a:prstGeom>
                          <a:noFill/>
                          <a:ln w="9525">
                            <a:noFill/>
                            <a:miter lim="800000"/>
                            <a:headEnd/>
                            <a:tailEnd/>
                          </a:ln>
                        </pic:spPr>
                      </pic:pic>
                    </a:graphicData>
                  </a:graphic>
                </wp:anchor>
              </w:drawing>
            </w:r>
            <w:r w:rsidRPr="003D26E3">
              <w:rPr>
                <w:rFonts w:ascii="Tahoma" w:eastAsia="Times New Roman" w:hAnsi="Tahoma" w:cs="Tahoma"/>
                <w:b/>
                <w:bCs/>
                <w:color w:val="000000"/>
                <w:sz w:val="21"/>
                <w:szCs w:val="21"/>
                <w:rtl/>
              </w:rPr>
              <w:t xml:space="preserve">الأديب يرفع أطول سارية للعلم العراقي في كربلاء ويدعو </w:t>
            </w:r>
            <w:proofErr w:type="spellStart"/>
            <w:r w:rsidRPr="003D26E3">
              <w:rPr>
                <w:rFonts w:ascii="Tahoma" w:eastAsia="Times New Roman" w:hAnsi="Tahoma" w:cs="Tahoma"/>
                <w:b/>
                <w:bCs/>
                <w:color w:val="000000"/>
                <w:sz w:val="21"/>
                <w:szCs w:val="21"/>
                <w:rtl/>
              </w:rPr>
              <w:t>لإن</w:t>
            </w:r>
            <w:proofErr w:type="spellEnd"/>
            <w:r w:rsidRPr="003D26E3">
              <w:rPr>
                <w:rFonts w:ascii="Tahoma" w:eastAsia="Times New Roman" w:hAnsi="Tahoma" w:cs="Tahoma"/>
                <w:b/>
                <w:bCs/>
                <w:color w:val="000000"/>
                <w:sz w:val="21"/>
                <w:szCs w:val="21"/>
                <w:rtl/>
              </w:rPr>
              <w:t xml:space="preserve"> تكون الجامعات </w:t>
            </w:r>
            <w:proofErr w:type="spellStart"/>
            <w:r w:rsidRPr="003D26E3">
              <w:rPr>
                <w:rFonts w:ascii="Tahoma" w:eastAsia="Times New Roman" w:hAnsi="Tahoma" w:cs="Tahoma"/>
                <w:b/>
                <w:bCs/>
                <w:color w:val="000000"/>
                <w:sz w:val="21"/>
                <w:szCs w:val="21"/>
                <w:rtl/>
              </w:rPr>
              <w:t>حواضنا</w:t>
            </w:r>
            <w:proofErr w:type="spellEnd"/>
            <w:r w:rsidRPr="003D26E3">
              <w:rPr>
                <w:rFonts w:ascii="Tahoma" w:eastAsia="Times New Roman" w:hAnsi="Tahoma" w:cs="Tahoma"/>
                <w:b/>
                <w:bCs/>
                <w:color w:val="000000"/>
                <w:sz w:val="21"/>
                <w:szCs w:val="21"/>
                <w:rtl/>
              </w:rPr>
              <w:t xml:space="preserve"> للوحدة الوطنية</w:t>
            </w:r>
            <w:r w:rsidRPr="003D26E3">
              <w:rPr>
                <w:rFonts w:ascii="Verdana" w:eastAsia="Times New Roman" w:hAnsi="Verdana" w:cs="Times New Roman"/>
                <w:sz w:val="18"/>
                <w:szCs w:val="18"/>
              </w:rPr>
              <w:pict>
                <v:rect id="_x0000_i1025" style="width:411.15pt;height:.75pt" o:hrpct="990" o:hralign="center" o:hrstd="t" o:hr="t" fillcolor="#a0a0a0" stroked="f"/>
              </w:pict>
            </w:r>
          </w:p>
        </w:tc>
      </w:tr>
      <w:tr w:rsidR="003D26E3" w:rsidRPr="003D26E3" w:rsidTr="003D26E3">
        <w:trPr>
          <w:tblCellSpacing w:w="7" w:type="dxa"/>
          <w:jc w:val="center"/>
        </w:trPr>
        <w:tc>
          <w:tcPr>
            <w:tcW w:w="0" w:type="auto"/>
            <w:tcMar>
              <w:top w:w="0" w:type="dxa"/>
              <w:left w:w="30" w:type="dxa"/>
              <w:bottom w:w="0" w:type="dxa"/>
              <w:right w:w="30" w:type="dxa"/>
            </w:tcMar>
            <w:vAlign w:val="center"/>
            <w:hideMark/>
          </w:tcPr>
          <w:p w:rsidR="003D26E3" w:rsidRPr="003D26E3" w:rsidRDefault="003D26E3" w:rsidP="003D26E3">
            <w:pPr>
              <w:spacing w:before="75" w:after="0" w:line="240" w:lineRule="auto"/>
              <w:rPr>
                <w:rFonts w:ascii="Tahoma" w:eastAsia="Times New Roman" w:hAnsi="Tahoma" w:cs="Tahoma"/>
                <w:color w:val="333333"/>
                <w:sz w:val="18"/>
                <w:szCs w:val="18"/>
              </w:rPr>
            </w:pPr>
          </w:p>
        </w:tc>
      </w:tr>
    </w:tbl>
    <w:p w:rsidR="003D26E3" w:rsidRPr="003D26E3" w:rsidRDefault="003D26E3" w:rsidP="003D26E3">
      <w:pPr>
        <w:shd w:val="clear" w:color="auto" w:fill="FFFFFF"/>
        <w:spacing w:after="100" w:line="240" w:lineRule="auto"/>
        <w:jc w:val="center"/>
        <w:rPr>
          <w:rFonts w:ascii="Verdana" w:eastAsia="Times New Roman" w:hAnsi="Verdana" w:cs="Times New Roman"/>
          <w:vanish/>
          <w:sz w:val="18"/>
          <w:szCs w:val="18"/>
          <w:rtl/>
        </w:rPr>
      </w:pPr>
    </w:p>
    <w:tbl>
      <w:tblPr>
        <w:bidiVisual/>
        <w:tblW w:w="5000" w:type="pct"/>
        <w:jc w:val="center"/>
        <w:tblCellSpacing w:w="7" w:type="dxa"/>
        <w:tblCellMar>
          <w:left w:w="0" w:type="dxa"/>
          <w:right w:w="0" w:type="dxa"/>
        </w:tblCellMar>
        <w:tblLook w:val="04A0"/>
      </w:tblPr>
      <w:tblGrid>
        <w:gridCol w:w="8484"/>
      </w:tblGrid>
      <w:tr w:rsidR="003D26E3" w:rsidRPr="003D26E3" w:rsidTr="003D26E3">
        <w:trPr>
          <w:tblCellSpacing w:w="7" w:type="dxa"/>
          <w:jc w:val="center"/>
        </w:trPr>
        <w:tc>
          <w:tcPr>
            <w:tcW w:w="0" w:type="auto"/>
            <w:tcMar>
              <w:top w:w="0" w:type="dxa"/>
              <w:left w:w="75" w:type="dxa"/>
              <w:bottom w:w="0" w:type="dxa"/>
              <w:right w:w="75" w:type="dxa"/>
            </w:tcMar>
            <w:hideMark/>
          </w:tcPr>
          <w:tbl>
            <w:tblPr>
              <w:bidiVisual/>
              <w:tblW w:w="0" w:type="auto"/>
              <w:jc w:val="center"/>
              <w:tblCellSpacing w:w="15" w:type="dxa"/>
              <w:tblCellMar>
                <w:top w:w="15" w:type="dxa"/>
                <w:left w:w="15" w:type="dxa"/>
                <w:bottom w:w="15" w:type="dxa"/>
                <w:right w:w="15" w:type="dxa"/>
              </w:tblCellMar>
              <w:tblLook w:val="04A0"/>
            </w:tblPr>
            <w:tblGrid>
              <w:gridCol w:w="96"/>
            </w:tblGrid>
            <w:tr w:rsidR="003D26E3" w:rsidRPr="003D26E3">
              <w:trPr>
                <w:tblCellSpacing w:w="15" w:type="dxa"/>
                <w:jc w:val="center"/>
              </w:trPr>
              <w:tc>
                <w:tcPr>
                  <w:tcW w:w="0" w:type="auto"/>
                  <w:vAlign w:val="center"/>
                  <w:hideMark/>
                </w:tcPr>
                <w:p w:rsidR="003D26E3" w:rsidRPr="003D26E3" w:rsidRDefault="003D26E3" w:rsidP="003D26E3">
                  <w:pPr>
                    <w:spacing w:after="0" w:line="240" w:lineRule="auto"/>
                    <w:jc w:val="center"/>
                    <w:rPr>
                      <w:rFonts w:ascii="Verdana" w:eastAsia="Times New Roman" w:hAnsi="Verdana" w:cs="Times New Roman"/>
                      <w:sz w:val="24"/>
                      <w:szCs w:val="24"/>
                    </w:rPr>
                  </w:pPr>
                </w:p>
              </w:tc>
            </w:tr>
          </w:tbl>
          <w:p w:rsidR="003D26E3" w:rsidRPr="003D26E3" w:rsidRDefault="003D26E3" w:rsidP="003D26E3">
            <w:pPr>
              <w:spacing w:after="0" w:line="240" w:lineRule="auto"/>
              <w:jc w:val="both"/>
              <w:rPr>
                <w:rFonts w:ascii="Verdana" w:eastAsia="Times New Roman" w:hAnsi="Verdana" w:cs="Times New Roman" w:hint="cs"/>
                <w:sz w:val="24"/>
                <w:szCs w:val="24"/>
                <w:rtl/>
                <w:lang w:bidi="ar-IQ"/>
              </w:rPr>
            </w:pPr>
          </w:p>
          <w:p w:rsidR="003D26E3" w:rsidRPr="003D26E3" w:rsidRDefault="003D26E3" w:rsidP="003D26E3">
            <w:pPr>
              <w:spacing w:after="240" w:line="240" w:lineRule="auto"/>
              <w:jc w:val="both"/>
              <w:rPr>
                <w:rFonts w:ascii="Verdana" w:eastAsia="Times New Roman" w:hAnsi="Verdana" w:cs="Times New Roman"/>
                <w:sz w:val="24"/>
                <w:szCs w:val="24"/>
                <w:rtl/>
              </w:rPr>
            </w:pPr>
            <w:r w:rsidRPr="003D26E3">
              <w:rPr>
                <w:rFonts w:ascii="Tahoma" w:eastAsia="Times New Roman" w:hAnsi="Tahoma" w:cs="Tahoma"/>
                <w:b/>
                <w:bCs/>
                <w:sz w:val="24"/>
                <w:szCs w:val="24"/>
                <w:rtl/>
              </w:rPr>
              <w:t xml:space="preserve">افتتح معالي وزير التعليم العالي والبحث العلمي علي الأديب، احتفالية رفع أعلى سارية للعلم العراقي في محافظة كربلاء المقدسة، وفيما أكد أن الوزارة نجحت في تحييد الجامعات عن الاستقطاب السياسي، أشار </w:t>
            </w:r>
            <w:proofErr w:type="spellStart"/>
            <w:r w:rsidRPr="003D26E3">
              <w:rPr>
                <w:rFonts w:ascii="Tahoma" w:eastAsia="Times New Roman" w:hAnsi="Tahoma" w:cs="Tahoma"/>
                <w:b/>
                <w:bCs/>
                <w:sz w:val="24"/>
                <w:szCs w:val="24"/>
                <w:rtl/>
              </w:rPr>
              <w:t>الى</w:t>
            </w:r>
            <w:proofErr w:type="spellEnd"/>
            <w:r w:rsidRPr="003D26E3">
              <w:rPr>
                <w:rFonts w:ascii="Tahoma" w:eastAsia="Times New Roman" w:hAnsi="Tahoma" w:cs="Tahoma"/>
                <w:b/>
                <w:bCs/>
                <w:sz w:val="24"/>
                <w:szCs w:val="24"/>
                <w:rtl/>
              </w:rPr>
              <w:t xml:space="preserve"> </w:t>
            </w:r>
            <w:proofErr w:type="spellStart"/>
            <w:r w:rsidRPr="003D26E3">
              <w:rPr>
                <w:rFonts w:ascii="Tahoma" w:eastAsia="Times New Roman" w:hAnsi="Tahoma" w:cs="Tahoma"/>
                <w:b/>
                <w:bCs/>
                <w:sz w:val="24"/>
                <w:szCs w:val="24"/>
                <w:rtl/>
              </w:rPr>
              <w:t>ان</w:t>
            </w:r>
            <w:proofErr w:type="spellEnd"/>
            <w:r w:rsidRPr="003D26E3">
              <w:rPr>
                <w:rFonts w:ascii="Tahoma" w:eastAsia="Times New Roman" w:hAnsi="Tahoma" w:cs="Tahoma"/>
                <w:b/>
                <w:bCs/>
                <w:sz w:val="24"/>
                <w:szCs w:val="24"/>
                <w:rtl/>
              </w:rPr>
              <w:t xml:space="preserve"> الجامعات العراقية مؤهلة لأن تكون حواضن للوحدة الوطنية العراقية ونجحت في </w:t>
            </w:r>
            <w:proofErr w:type="spellStart"/>
            <w:r w:rsidRPr="003D26E3">
              <w:rPr>
                <w:rFonts w:ascii="Tahoma" w:eastAsia="Times New Roman" w:hAnsi="Tahoma" w:cs="Tahoma"/>
                <w:b/>
                <w:bCs/>
                <w:sz w:val="24"/>
                <w:szCs w:val="24"/>
                <w:rtl/>
              </w:rPr>
              <w:t>اداء</w:t>
            </w:r>
            <w:proofErr w:type="spellEnd"/>
            <w:r w:rsidRPr="003D26E3">
              <w:rPr>
                <w:rFonts w:ascii="Tahoma" w:eastAsia="Times New Roman" w:hAnsi="Tahoma" w:cs="Tahoma"/>
                <w:b/>
                <w:bCs/>
                <w:sz w:val="24"/>
                <w:szCs w:val="24"/>
                <w:rtl/>
              </w:rPr>
              <w:t xml:space="preserve"> هذا الدور بامتياز.</w:t>
            </w:r>
          </w:p>
          <w:p w:rsidR="003D26E3" w:rsidRPr="003D26E3" w:rsidRDefault="003D26E3" w:rsidP="003D26E3">
            <w:pPr>
              <w:spacing w:after="240" w:line="240" w:lineRule="auto"/>
              <w:jc w:val="both"/>
              <w:rPr>
                <w:rFonts w:ascii="Verdana" w:eastAsia="Times New Roman" w:hAnsi="Verdana" w:cs="Times New Roman"/>
                <w:sz w:val="24"/>
                <w:szCs w:val="24"/>
                <w:rtl/>
              </w:rPr>
            </w:pPr>
            <w:r w:rsidRPr="003D26E3">
              <w:rPr>
                <w:rFonts w:ascii="Tahoma" w:eastAsia="Times New Roman" w:hAnsi="Tahoma" w:cs="Tahoma"/>
                <w:b/>
                <w:bCs/>
                <w:sz w:val="24"/>
                <w:szCs w:val="24"/>
                <w:rtl/>
              </w:rPr>
              <w:t xml:space="preserve">وقال الأديب خلال رفعه أعلى سارية علم عراقي في محافظة كربلاء، إن "الوزارة حرصت خلال </w:t>
            </w:r>
            <w:proofErr w:type="spellStart"/>
            <w:r w:rsidRPr="003D26E3">
              <w:rPr>
                <w:rFonts w:ascii="Tahoma" w:eastAsia="Times New Roman" w:hAnsi="Tahoma" w:cs="Tahoma"/>
                <w:b/>
                <w:bCs/>
                <w:sz w:val="24"/>
                <w:szCs w:val="24"/>
                <w:rtl/>
              </w:rPr>
              <w:t>الاعوام</w:t>
            </w:r>
            <w:proofErr w:type="spellEnd"/>
            <w:r w:rsidRPr="003D26E3">
              <w:rPr>
                <w:rFonts w:ascii="Tahoma" w:eastAsia="Times New Roman" w:hAnsi="Tahoma" w:cs="Tahoma"/>
                <w:b/>
                <w:bCs/>
                <w:sz w:val="24"/>
                <w:szCs w:val="24"/>
                <w:rtl/>
              </w:rPr>
              <w:t xml:space="preserve"> الماضية على </w:t>
            </w:r>
            <w:proofErr w:type="spellStart"/>
            <w:r w:rsidRPr="003D26E3">
              <w:rPr>
                <w:rFonts w:ascii="Tahoma" w:eastAsia="Times New Roman" w:hAnsi="Tahoma" w:cs="Tahoma"/>
                <w:b/>
                <w:bCs/>
                <w:sz w:val="24"/>
                <w:szCs w:val="24"/>
                <w:rtl/>
              </w:rPr>
              <w:t>ابعاد</w:t>
            </w:r>
            <w:proofErr w:type="spellEnd"/>
            <w:r w:rsidRPr="003D26E3">
              <w:rPr>
                <w:rFonts w:ascii="Tahoma" w:eastAsia="Times New Roman" w:hAnsi="Tahoma" w:cs="Tahoma"/>
                <w:b/>
                <w:bCs/>
                <w:sz w:val="24"/>
                <w:szCs w:val="24"/>
                <w:rtl/>
              </w:rPr>
              <w:t xml:space="preserve"> الحرم الجامعي عن كل </w:t>
            </w:r>
            <w:proofErr w:type="spellStart"/>
            <w:r w:rsidRPr="003D26E3">
              <w:rPr>
                <w:rFonts w:ascii="Tahoma" w:eastAsia="Times New Roman" w:hAnsi="Tahoma" w:cs="Tahoma"/>
                <w:b/>
                <w:bCs/>
                <w:sz w:val="24"/>
                <w:szCs w:val="24"/>
                <w:rtl/>
              </w:rPr>
              <w:t>انواع</w:t>
            </w:r>
            <w:proofErr w:type="spellEnd"/>
            <w:r w:rsidRPr="003D26E3">
              <w:rPr>
                <w:rFonts w:ascii="Tahoma" w:eastAsia="Times New Roman" w:hAnsi="Tahoma" w:cs="Tahoma"/>
                <w:b/>
                <w:bCs/>
                <w:sz w:val="24"/>
                <w:szCs w:val="24"/>
                <w:rtl/>
              </w:rPr>
              <w:t xml:space="preserve"> الاستقطاب السياسي، ونجحت فعلا في تركيز جهود </w:t>
            </w:r>
            <w:proofErr w:type="spellStart"/>
            <w:r w:rsidRPr="003D26E3">
              <w:rPr>
                <w:rFonts w:ascii="Tahoma" w:eastAsia="Times New Roman" w:hAnsi="Tahoma" w:cs="Tahoma"/>
                <w:b/>
                <w:bCs/>
                <w:sz w:val="24"/>
                <w:szCs w:val="24"/>
                <w:rtl/>
              </w:rPr>
              <w:t>الاساتذة</w:t>
            </w:r>
            <w:proofErr w:type="spellEnd"/>
            <w:r w:rsidRPr="003D26E3">
              <w:rPr>
                <w:rFonts w:ascii="Tahoma" w:eastAsia="Times New Roman" w:hAnsi="Tahoma" w:cs="Tahoma"/>
                <w:b/>
                <w:bCs/>
                <w:sz w:val="24"/>
                <w:szCs w:val="24"/>
                <w:rtl/>
              </w:rPr>
              <w:t xml:space="preserve"> والطلبة على العملية التعليمية لاستعادة حيوية التعليم العالي في العراق وردم الهوة المعرفية التي فصلت العراق عن باقي بلدان العالم لعقود طويلة".</w:t>
            </w:r>
          </w:p>
          <w:p w:rsidR="003D26E3" w:rsidRPr="003D26E3" w:rsidRDefault="003D26E3" w:rsidP="003D26E3">
            <w:pPr>
              <w:spacing w:after="0" w:line="240" w:lineRule="auto"/>
              <w:jc w:val="both"/>
              <w:rPr>
                <w:rFonts w:ascii="Verdana" w:eastAsia="Times New Roman" w:hAnsi="Verdana" w:cs="Times New Roman"/>
                <w:sz w:val="24"/>
                <w:szCs w:val="24"/>
              </w:rPr>
            </w:pPr>
            <w:r w:rsidRPr="003D26E3">
              <w:rPr>
                <w:rFonts w:ascii="Tahoma" w:eastAsia="Times New Roman" w:hAnsi="Tahoma" w:cs="Tahoma"/>
                <w:b/>
                <w:bCs/>
                <w:sz w:val="24"/>
                <w:szCs w:val="24"/>
                <w:rtl/>
              </w:rPr>
              <w:t xml:space="preserve">وتابع </w:t>
            </w:r>
            <w:proofErr w:type="spellStart"/>
            <w:r w:rsidRPr="003D26E3">
              <w:rPr>
                <w:rFonts w:ascii="Tahoma" w:eastAsia="Times New Roman" w:hAnsi="Tahoma" w:cs="Tahoma"/>
                <w:b/>
                <w:bCs/>
                <w:sz w:val="24"/>
                <w:szCs w:val="24"/>
                <w:rtl/>
              </w:rPr>
              <w:t>الاديب</w:t>
            </w:r>
            <w:proofErr w:type="spellEnd"/>
            <w:r w:rsidRPr="003D26E3">
              <w:rPr>
                <w:rFonts w:ascii="Tahoma" w:eastAsia="Times New Roman" w:hAnsi="Tahoma" w:cs="Tahoma"/>
                <w:b/>
                <w:bCs/>
                <w:sz w:val="24"/>
                <w:szCs w:val="24"/>
                <w:rtl/>
              </w:rPr>
              <w:t xml:space="preserve"> </w:t>
            </w:r>
            <w:proofErr w:type="spellStart"/>
            <w:r w:rsidRPr="003D26E3">
              <w:rPr>
                <w:rFonts w:ascii="Tahoma" w:eastAsia="Times New Roman" w:hAnsi="Tahoma" w:cs="Tahoma"/>
                <w:b/>
                <w:bCs/>
                <w:sz w:val="24"/>
                <w:szCs w:val="24"/>
                <w:rtl/>
              </w:rPr>
              <w:t>ان</w:t>
            </w:r>
            <w:proofErr w:type="spellEnd"/>
            <w:r w:rsidRPr="003D26E3">
              <w:rPr>
                <w:rFonts w:ascii="Tahoma" w:eastAsia="Times New Roman" w:hAnsi="Tahoma" w:cs="Tahoma"/>
                <w:b/>
                <w:bCs/>
                <w:sz w:val="24"/>
                <w:szCs w:val="24"/>
                <w:rtl/>
              </w:rPr>
              <w:t xml:space="preserve"> الجامعات "مؤهلة لأن تلعب دورا مهما في ترسيخ الوحدة الوطنية، وهذا ما حصل فعلا حين </w:t>
            </w:r>
            <w:proofErr w:type="spellStart"/>
            <w:r w:rsidRPr="003D26E3">
              <w:rPr>
                <w:rFonts w:ascii="Tahoma" w:eastAsia="Times New Roman" w:hAnsi="Tahoma" w:cs="Tahoma"/>
                <w:b/>
                <w:bCs/>
                <w:sz w:val="24"/>
                <w:szCs w:val="24"/>
                <w:rtl/>
              </w:rPr>
              <w:t>اانصهرت</w:t>
            </w:r>
            <w:proofErr w:type="spellEnd"/>
            <w:r w:rsidRPr="003D26E3">
              <w:rPr>
                <w:rFonts w:ascii="Tahoma" w:eastAsia="Times New Roman" w:hAnsi="Tahoma" w:cs="Tahoma"/>
                <w:b/>
                <w:bCs/>
                <w:sz w:val="24"/>
                <w:szCs w:val="24"/>
                <w:rtl/>
              </w:rPr>
              <w:t xml:space="preserve"> كل الانتماءات الجزئية في بوتقة الوطن الواحد، وصارت </w:t>
            </w:r>
            <w:proofErr w:type="spellStart"/>
            <w:r w:rsidRPr="003D26E3">
              <w:rPr>
                <w:rFonts w:ascii="Tahoma" w:eastAsia="Times New Roman" w:hAnsi="Tahoma" w:cs="Tahoma"/>
                <w:b/>
                <w:bCs/>
                <w:sz w:val="24"/>
                <w:szCs w:val="24"/>
                <w:rtl/>
              </w:rPr>
              <w:t>اروقة</w:t>
            </w:r>
            <w:proofErr w:type="spellEnd"/>
            <w:r w:rsidRPr="003D26E3">
              <w:rPr>
                <w:rFonts w:ascii="Tahoma" w:eastAsia="Times New Roman" w:hAnsi="Tahoma" w:cs="Tahoma"/>
                <w:b/>
                <w:bCs/>
                <w:sz w:val="24"/>
                <w:szCs w:val="24"/>
                <w:rtl/>
              </w:rPr>
              <w:t xml:space="preserve"> الجامعات مكان يأتلف فيه ابن الموصل مع ابن البصرة </w:t>
            </w:r>
            <w:proofErr w:type="spellStart"/>
            <w:r w:rsidRPr="003D26E3">
              <w:rPr>
                <w:rFonts w:ascii="Tahoma" w:eastAsia="Times New Roman" w:hAnsi="Tahoma" w:cs="Tahoma"/>
                <w:b/>
                <w:bCs/>
                <w:sz w:val="24"/>
                <w:szCs w:val="24"/>
                <w:rtl/>
              </w:rPr>
              <w:t>وميسان</w:t>
            </w:r>
            <w:proofErr w:type="spellEnd"/>
            <w:r w:rsidRPr="003D26E3">
              <w:rPr>
                <w:rFonts w:ascii="Tahoma" w:eastAsia="Times New Roman" w:hAnsi="Tahoma" w:cs="Tahoma"/>
                <w:b/>
                <w:bCs/>
                <w:sz w:val="24"/>
                <w:szCs w:val="24"/>
                <w:rtl/>
              </w:rPr>
              <w:t xml:space="preserve"> وكربلاء، وهو ما يؤسس لحالة من التلاحم الوطني الذي نحتاج تعزيزه خلال هذه المرحلة"، مؤكدا أن "رفع </w:t>
            </w:r>
            <w:proofErr w:type="spellStart"/>
            <w:r w:rsidRPr="003D26E3">
              <w:rPr>
                <w:rFonts w:ascii="Tahoma" w:eastAsia="Times New Roman" w:hAnsi="Tahoma" w:cs="Tahoma"/>
                <w:b/>
                <w:bCs/>
                <w:sz w:val="24"/>
                <w:szCs w:val="24"/>
                <w:rtl/>
              </w:rPr>
              <w:t>اعلى</w:t>
            </w:r>
            <w:proofErr w:type="spellEnd"/>
            <w:r w:rsidRPr="003D26E3">
              <w:rPr>
                <w:rFonts w:ascii="Tahoma" w:eastAsia="Times New Roman" w:hAnsi="Tahoma" w:cs="Tahoma"/>
                <w:b/>
                <w:bCs/>
                <w:sz w:val="24"/>
                <w:szCs w:val="24"/>
                <w:rtl/>
              </w:rPr>
              <w:t xml:space="preserve"> سارية للعلم العراقي في محافظة كربلاء وقبلها في بغداد </w:t>
            </w:r>
            <w:proofErr w:type="spellStart"/>
            <w:r w:rsidRPr="003D26E3">
              <w:rPr>
                <w:rFonts w:ascii="Tahoma" w:eastAsia="Times New Roman" w:hAnsi="Tahoma" w:cs="Tahoma"/>
                <w:b/>
                <w:bCs/>
                <w:sz w:val="24"/>
                <w:szCs w:val="24"/>
                <w:rtl/>
              </w:rPr>
              <w:t>وواسط</w:t>
            </w:r>
            <w:proofErr w:type="spellEnd"/>
            <w:r w:rsidRPr="003D26E3">
              <w:rPr>
                <w:rFonts w:ascii="Tahoma" w:eastAsia="Times New Roman" w:hAnsi="Tahoma" w:cs="Tahoma"/>
                <w:b/>
                <w:bCs/>
                <w:sz w:val="24"/>
                <w:szCs w:val="24"/>
                <w:rtl/>
              </w:rPr>
              <w:t xml:space="preserve"> وباقي المحافظات، هو جزء من سعينا لبث روح المواطنة والولاء للوطن الواحد الموحد".</w:t>
            </w:r>
          </w:p>
        </w:tc>
      </w:tr>
    </w:tbl>
    <w:p w:rsidR="00DC0B00" w:rsidRPr="003D26E3" w:rsidRDefault="00DC0B00">
      <w:pPr>
        <w:rPr>
          <w:sz w:val="24"/>
          <w:szCs w:val="24"/>
        </w:rPr>
      </w:pPr>
    </w:p>
    <w:sectPr w:rsidR="00DC0B00" w:rsidRPr="003D26E3" w:rsidSect="00CE5A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812C9A"/>
    <w:multiLevelType w:val="multilevel"/>
    <w:tmpl w:val="6A8288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26E3"/>
    <w:rsid w:val="002A1359"/>
    <w:rsid w:val="003D26E3"/>
    <w:rsid w:val="00C654EB"/>
    <w:rsid w:val="00CE5A4C"/>
    <w:rsid w:val="00DC0B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0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26E3"/>
    <w:rPr>
      <w:rFonts w:ascii="Tahoma" w:hAnsi="Tahoma" w:cs="Tahoma" w:hint="default"/>
      <w:b/>
      <w:bCs/>
      <w:strike w:val="0"/>
      <w:dstrike w:val="0"/>
      <w:color w:val="000080"/>
      <w:sz w:val="17"/>
      <w:szCs w:val="17"/>
      <w:u w:val="none"/>
      <w:effect w:val="none"/>
    </w:rPr>
  </w:style>
  <w:style w:type="character" w:styleId="a3">
    <w:name w:val="Strong"/>
    <w:basedOn w:val="a0"/>
    <w:uiPriority w:val="22"/>
    <w:qFormat/>
    <w:rsid w:val="003D26E3"/>
    <w:rPr>
      <w:b/>
      <w:bCs/>
    </w:rPr>
  </w:style>
  <w:style w:type="paragraph" w:styleId="a4">
    <w:name w:val="Balloon Text"/>
    <w:basedOn w:val="a"/>
    <w:link w:val="Char"/>
    <w:uiPriority w:val="99"/>
    <w:semiHidden/>
    <w:unhideWhenUsed/>
    <w:rsid w:val="003D26E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D26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676870">
      <w:bodyDiv w:val="1"/>
      <w:marLeft w:val="0"/>
      <w:marRight w:val="0"/>
      <w:marTop w:val="100"/>
      <w:marBottom w:val="100"/>
      <w:divBdr>
        <w:top w:val="none" w:sz="0" w:space="0" w:color="auto"/>
        <w:left w:val="none" w:sz="0" w:space="0" w:color="auto"/>
        <w:bottom w:val="none" w:sz="0" w:space="0" w:color="auto"/>
        <w:right w:val="none" w:sz="0" w:space="0" w:color="auto"/>
      </w:divBdr>
      <w:divsChild>
        <w:div w:id="98379671">
          <w:marLeft w:val="0"/>
          <w:marRight w:val="0"/>
          <w:marTop w:val="100"/>
          <w:marBottom w:val="100"/>
          <w:divBdr>
            <w:top w:val="none" w:sz="0" w:space="0" w:color="auto"/>
            <w:left w:val="none" w:sz="0" w:space="0" w:color="auto"/>
            <w:bottom w:val="none" w:sz="0" w:space="0" w:color="auto"/>
            <w:right w:val="none" w:sz="0" w:space="0" w:color="auto"/>
          </w:divBdr>
          <w:divsChild>
            <w:div w:id="2134787477">
              <w:marLeft w:val="0"/>
              <w:marRight w:val="0"/>
              <w:marTop w:val="100"/>
              <w:marBottom w:val="0"/>
              <w:divBdr>
                <w:top w:val="none" w:sz="0" w:space="0" w:color="auto"/>
                <w:left w:val="none" w:sz="0" w:space="0" w:color="auto"/>
                <w:bottom w:val="none" w:sz="0" w:space="0" w:color="auto"/>
                <w:right w:val="none" w:sz="0" w:space="0" w:color="auto"/>
              </w:divBdr>
              <w:divsChild>
                <w:div w:id="973948179">
                  <w:marLeft w:val="0"/>
                  <w:marRight w:val="0"/>
                  <w:marTop w:val="100"/>
                  <w:marBottom w:val="100"/>
                  <w:divBdr>
                    <w:top w:val="none" w:sz="0" w:space="0" w:color="auto"/>
                    <w:left w:val="none" w:sz="0" w:space="0" w:color="auto"/>
                    <w:bottom w:val="none" w:sz="0" w:space="0" w:color="auto"/>
                    <w:right w:val="none" w:sz="0" w:space="0" w:color="auto"/>
                  </w:divBdr>
                  <w:divsChild>
                    <w:div w:id="1303582209">
                      <w:marLeft w:val="0"/>
                      <w:marRight w:val="0"/>
                      <w:marTop w:val="0"/>
                      <w:marBottom w:val="0"/>
                      <w:divBdr>
                        <w:top w:val="none" w:sz="0" w:space="0" w:color="auto"/>
                        <w:left w:val="none" w:sz="0" w:space="0" w:color="auto"/>
                        <w:bottom w:val="none" w:sz="0" w:space="0" w:color="auto"/>
                        <w:right w:val="none" w:sz="0" w:space="0" w:color="auto"/>
                      </w:divBdr>
                      <w:divsChild>
                        <w:div w:id="1607615031">
                          <w:marLeft w:val="0"/>
                          <w:marRight w:val="0"/>
                          <w:marTop w:val="0"/>
                          <w:marBottom w:val="0"/>
                          <w:divBdr>
                            <w:top w:val="none" w:sz="0" w:space="0" w:color="auto"/>
                            <w:left w:val="none" w:sz="0" w:space="0" w:color="auto"/>
                            <w:bottom w:val="none" w:sz="0" w:space="0" w:color="auto"/>
                            <w:right w:val="none" w:sz="0" w:space="0" w:color="auto"/>
                          </w:divBdr>
                          <w:divsChild>
                            <w:div w:id="448163590">
                              <w:marLeft w:val="0"/>
                              <w:marRight w:val="0"/>
                              <w:marTop w:val="75"/>
                              <w:marBottom w:val="75"/>
                              <w:divBdr>
                                <w:top w:val="none" w:sz="0" w:space="0" w:color="auto"/>
                                <w:left w:val="none" w:sz="0" w:space="0" w:color="auto"/>
                                <w:bottom w:val="none" w:sz="0" w:space="0" w:color="auto"/>
                                <w:right w:val="none" w:sz="0" w:space="0" w:color="auto"/>
                              </w:divBdr>
                              <w:divsChild>
                                <w:div w:id="1848708958">
                                  <w:marLeft w:val="0"/>
                                  <w:marRight w:val="0"/>
                                  <w:marTop w:val="0"/>
                                  <w:marBottom w:val="0"/>
                                  <w:divBdr>
                                    <w:top w:val="none" w:sz="0" w:space="0" w:color="auto"/>
                                    <w:left w:val="single" w:sz="6" w:space="0" w:color="330099"/>
                                    <w:bottom w:val="none" w:sz="0" w:space="0" w:color="auto"/>
                                    <w:right w:val="single" w:sz="6" w:space="0" w:color="330099"/>
                                  </w:divBdr>
                                  <w:divsChild>
                                    <w:div w:id="17159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Abas</dc:creator>
  <cp:lastModifiedBy>Dr Abas</cp:lastModifiedBy>
  <cp:revision>1</cp:revision>
  <dcterms:created xsi:type="dcterms:W3CDTF">2014-05-04T08:37:00Z</dcterms:created>
  <dcterms:modified xsi:type="dcterms:W3CDTF">2014-05-04T08:40:00Z</dcterms:modified>
</cp:coreProperties>
</file>